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74" w:rsidRDefault="00B03036">
      <w:pPr>
        <w:contextualSpacing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Implicit Bias:  What We Don’t Know Does Hurt</w:t>
      </w:r>
    </w:p>
    <w:p w:rsidR="00942474" w:rsidRDefault="00B03036">
      <w:pPr>
        <w:contextualSpacing w:val="0"/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942474" w:rsidRDefault="00942474">
      <w:pPr>
        <w:contextualSpacing w:val="0"/>
        <w:rPr>
          <w:b/>
          <w:sz w:val="28"/>
          <w:szCs w:val="28"/>
        </w:rPr>
      </w:pPr>
    </w:p>
    <w:p w:rsidR="00942474" w:rsidRDefault="00B03036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Language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Glossary -- Racial Equity Resource Guide</w:t>
        </w:r>
      </w:hyperlink>
      <w:r>
        <w:rPr>
          <w:sz w:val="28"/>
          <w:szCs w:val="28"/>
        </w:rPr>
        <w:t xml:space="preserve"> -- Kellogg Foundation </w:t>
      </w:r>
    </w:p>
    <w:p w:rsidR="00942474" w:rsidRDefault="00942474">
      <w:pPr>
        <w:contextualSpacing w:val="0"/>
        <w:rPr>
          <w:b/>
          <w:sz w:val="28"/>
          <w:szCs w:val="28"/>
          <w:u w:val="single"/>
        </w:rPr>
      </w:pPr>
    </w:p>
    <w:p w:rsidR="00942474" w:rsidRDefault="00942474">
      <w:pPr>
        <w:contextualSpacing w:val="0"/>
        <w:rPr>
          <w:b/>
          <w:sz w:val="28"/>
          <w:szCs w:val="28"/>
          <w:u w:val="single"/>
        </w:rPr>
      </w:pPr>
    </w:p>
    <w:p w:rsidR="00942474" w:rsidRDefault="00B03036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Tools / Strategies to Understand and Mitigate Implicit Bias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25 Mini-Films for Exploring Race, Bias and Identi</w:t>
        </w:r>
        <w:r>
          <w:rPr>
            <w:color w:val="1155CC"/>
            <w:sz w:val="28"/>
            <w:szCs w:val="28"/>
            <w:u w:val="single"/>
          </w:rPr>
          <w:t>ty</w:t>
        </w:r>
      </w:hyperlink>
      <w:r>
        <w:rPr>
          <w:sz w:val="28"/>
          <w:szCs w:val="28"/>
        </w:rPr>
        <w:t xml:space="preserve"> -- New York Times</w:t>
      </w:r>
    </w:p>
    <w:p w:rsidR="00942474" w:rsidRDefault="00B03036">
      <w:pPr>
        <w:contextualSpacing w:val="0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Bias Cleanse</w:t>
        </w:r>
      </w:hyperlink>
      <w:r>
        <w:rPr>
          <w:sz w:val="28"/>
          <w:szCs w:val="28"/>
        </w:rPr>
        <w:t xml:space="preserve"> -- MTV</w:t>
      </w:r>
    </w:p>
    <w:p w:rsidR="00942474" w:rsidRDefault="00B03036">
      <w:pPr>
        <w:contextualSpacing w:val="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Check Our Bias to Wreck Our Bias</w:t>
        </w:r>
      </w:hyperlink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- New York Times</w:t>
      </w:r>
    </w:p>
    <w:p w:rsidR="00942474" w:rsidRDefault="00B03036">
      <w:pPr>
        <w:contextualSpacing w:val="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Codeswitch:  A Lesson in How to Overcome Implicit Bias</w:t>
        </w:r>
      </w:hyperlink>
      <w:r>
        <w:rPr>
          <w:sz w:val="28"/>
          <w:szCs w:val="28"/>
        </w:rPr>
        <w:t xml:space="preserve"> -- NPR</w:t>
      </w:r>
    </w:p>
    <w:p w:rsidR="00942474" w:rsidRDefault="00B03036">
      <w:pPr>
        <w:contextualSpacing w:val="0"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Implic</w:t>
        </w:r>
        <w:r>
          <w:rPr>
            <w:color w:val="1155CC"/>
            <w:sz w:val="28"/>
            <w:szCs w:val="28"/>
            <w:u w:val="single"/>
          </w:rPr>
          <w:t>it Association Test</w:t>
        </w:r>
      </w:hyperlink>
      <w:r>
        <w:rPr>
          <w:sz w:val="28"/>
          <w:szCs w:val="28"/>
        </w:rPr>
        <w:t xml:space="preserve"> -- Project Implicit</w:t>
      </w:r>
    </w:p>
    <w:p w:rsidR="00942474" w:rsidRDefault="00B03036">
      <w:pPr>
        <w:contextualSpacing w:val="0"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Implicit Bias</w:t>
        </w:r>
      </w:hyperlink>
      <w:r>
        <w:rPr>
          <w:sz w:val="28"/>
          <w:szCs w:val="28"/>
        </w:rPr>
        <w:t xml:space="preserve"> -- UCLA’s Office of Equity, Diversity and Inclusion</w:t>
      </w:r>
    </w:p>
    <w:p w:rsidR="00942474" w:rsidRDefault="00B03036">
      <w:pPr>
        <w:contextualSpacing w:val="0"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 xml:space="preserve">Implicit Bias, Lifelong </w:t>
        </w:r>
        <w:r>
          <w:rPr>
            <w:color w:val="1155CC"/>
            <w:sz w:val="28"/>
            <w:szCs w:val="28"/>
            <w:u w:val="single"/>
          </w:rPr>
          <w:t>Impact</w:t>
        </w:r>
      </w:hyperlink>
      <w:r>
        <w:rPr>
          <w:sz w:val="28"/>
          <w:szCs w:val="28"/>
        </w:rPr>
        <w:t xml:space="preserve"> -- Kirwan Institute for the Study of Race and Ethnicity</w:t>
      </w:r>
    </w:p>
    <w:p w:rsidR="00942474" w:rsidRDefault="00B03036">
      <w:pPr>
        <w:contextualSpacing w:val="0"/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Interview with Unconscious Bias Expert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Mahzarin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Banaji</w:t>
      </w:r>
      <w:proofErr w:type="spellEnd"/>
    </w:p>
    <w:p w:rsidR="00942474" w:rsidRDefault="00B03036">
      <w:pPr>
        <w:contextualSpacing w:val="0"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 xml:space="preserve">Mind Bugs </w:t>
        </w:r>
      </w:hyperlink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Mahzarin</w:t>
      </w:r>
      <w:proofErr w:type="spellEnd"/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Banaji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TEDxBari</w:t>
      </w:r>
      <w:proofErr w:type="spellEnd"/>
    </w:p>
    <w:p w:rsidR="00942474" w:rsidRDefault="00B03036">
      <w:pPr>
        <w:contextualSpacing w:val="0"/>
        <w:rPr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Race in the Academy</w:t>
        </w:r>
      </w:hyperlink>
      <w:r>
        <w:rPr>
          <w:sz w:val="28"/>
          <w:szCs w:val="28"/>
        </w:rPr>
        <w:t xml:space="preserve"> with Dr. Ali Michael from </w:t>
      </w:r>
      <w:proofErr w:type="spellStart"/>
      <w:r>
        <w:rPr>
          <w:sz w:val="28"/>
          <w:szCs w:val="28"/>
        </w:rPr>
        <w:t>UPenn</w:t>
      </w:r>
      <w:proofErr w:type="spellEnd"/>
    </w:p>
    <w:p w:rsidR="00942474" w:rsidRDefault="00B03036">
      <w:pPr>
        <w:contextualSpacing w:val="0"/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Test Yourself for Hidden Bias</w:t>
        </w:r>
      </w:hyperlink>
      <w:r>
        <w:rPr>
          <w:sz w:val="28"/>
          <w:szCs w:val="28"/>
        </w:rPr>
        <w:t xml:space="preserve"> -- Teaching Tolerance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942474">
      <w:pPr>
        <w:contextualSpacing w:val="0"/>
        <w:rPr>
          <w:b/>
          <w:sz w:val="28"/>
          <w:szCs w:val="28"/>
          <w:u w:val="single"/>
        </w:rPr>
      </w:pPr>
    </w:p>
    <w:p w:rsidR="00942474" w:rsidRDefault="00B03036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Reflection Resources for Self and Workspace / Classroom to Facilitate Equity and Inclusion</w:t>
      </w:r>
    </w:p>
    <w:p w:rsidR="00942474" w:rsidRDefault="00942474">
      <w:pPr>
        <w:contextualSpacing w:val="0"/>
        <w:rPr>
          <w:b/>
          <w:sz w:val="28"/>
          <w:szCs w:val="28"/>
          <w:u w:val="single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 xml:space="preserve">“Start from </w:t>
      </w: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>the premise that, of course, you've been impacted by these forces. There's no way that I wasn't impacted by the forces of racism in a country in which it's embedded and infused. And so just start there. And then try to figure out, OK, how have those forces</w:t>
      </w: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 xml:space="preserve"> shaped me and how are they manifested in my life and my relationship. That's a very different question. That's a question of how rather than if I've been impacted.” </w:t>
      </w:r>
      <w:r>
        <w:rPr>
          <w:sz w:val="28"/>
          <w:szCs w:val="28"/>
        </w:rPr>
        <w:t xml:space="preserve">from </w:t>
      </w:r>
      <w:hyperlink r:id="rId16">
        <w:r>
          <w:rPr>
            <w:color w:val="1155CC"/>
            <w:sz w:val="28"/>
            <w:szCs w:val="28"/>
            <w:u w:val="single"/>
          </w:rPr>
          <w:t xml:space="preserve">Robin </w:t>
        </w:r>
        <w:proofErr w:type="spellStart"/>
        <w:r>
          <w:rPr>
            <w:color w:val="1155CC"/>
            <w:sz w:val="28"/>
            <w:szCs w:val="28"/>
            <w:u w:val="single"/>
          </w:rPr>
          <w:t>DiAngelo</w:t>
        </w:r>
        <w:proofErr w:type="spellEnd"/>
        <w:r>
          <w:rPr>
            <w:color w:val="1155CC"/>
            <w:sz w:val="28"/>
            <w:szCs w:val="28"/>
            <w:u w:val="single"/>
          </w:rPr>
          <w:t xml:space="preserve"> on White People’s Fragility -- NPR</w:t>
        </w:r>
      </w:hyperlink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21-Day Racial Equity Habit Building Challenge</w:t>
        </w:r>
      </w:hyperlink>
      <w:r>
        <w:rPr>
          <w:sz w:val="28"/>
          <w:szCs w:val="28"/>
        </w:rPr>
        <w:t xml:space="preserve"> -- Debby Irving 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18">
        <w:r>
          <w:rPr>
            <w:color w:val="1155CC"/>
            <w:sz w:val="28"/>
            <w:szCs w:val="28"/>
            <w:u w:val="single"/>
          </w:rPr>
          <w:t>Equity and Student Success</w:t>
        </w:r>
      </w:hyperlink>
      <w:r>
        <w:rPr>
          <w:sz w:val="28"/>
          <w:szCs w:val="28"/>
        </w:rPr>
        <w:t xml:space="preserve"> (see above </w:t>
      </w:r>
      <w:proofErr w:type="gramStart"/>
      <w:r>
        <w:rPr>
          <w:sz w:val="28"/>
          <w:szCs w:val="28"/>
        </w:rPr>
        <w:t>image )</w:t>
      </w:r>
      <w:proofErr w:type="gramEnd"/>
      <w:r>
        <w:rPr>
          <w:sz w:val="28"/>
          <w:szCs w:val="28"/>
        </w:rPr>
        <w:t xml:space="preserve"> USC Center for Urban Education</w:t>
      </w:r>
    </w:p>
    <w:p w:rsidR="00942474" w:rsidRDefault="00B03036">
      <w:pPr>
        <w:contextualSpacing w:val="0"/>
        <w:rPr>
          <w:sz w:val="28"/>
          <w:szCs w:val="28"/>
        </w:rPr>
      </w:pPr>
      <w:hyperlink r:id="rId19">
        <w:r>
          <w:rPr>
            <w:color w:val="1155CC"/>
            <w:sz w:val="28"/>
            <w:szCs w:val="28"/>
            <w:u w:val="single"/>
          </w:rPr>
          <w:t>Equity Mindedness</w:t>
        </w:r>
      </w:hyperlink>
      <w:r>
        <w:rPr>
          <w:sz w:val="28"/>
          <w:szCs w:val="28"/>
        </w:rPr>
        <w:t xml:space="preserve"> USC Center for Urban Education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20">
        <w:r>
          <w:rPr>
            <w:color w:val="1155CC"/>
            <w:sz w:val="28"/>
            <w:szCs w:val="28"/>
            <w:u w:val="single"/>
          </w:rPr>
          <w:t>How Companies Can Identify Racial and Gender Bias in Their Customer Service</w:t>
        </w:r>
      </w:hyperlink>
      <w:r>
        <w:rPr>
          <w:sz w:val="28"/>
          <w:szCs w:val="28"/>
        </w:rPr>
        <w:t xml:space="preserve"> -- </w:t>
      </w:r>
      <w:r>
        <w:rPr>
          <w:i/>
          <w:sz w:val="28"/>
          <w:szCs w:val="28"/>
        </w:rPr>
        <w:t>Harvard Business Review</w:t>
      </w:r>
      <w:r>
        <w:rPr>
          <w:sz w:val="28"/>
          <w:szCs w:val="28"/>
        </w:rPr>
        <w:t>, May 2018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21" w:anchor="heading=h.30j0zll">
        <w:r>
          <w:rPr>
            <w:color w:val="1155CC"/>
            <w:sz w:val="28"/>
            <w:szCs w:val="28"/>
            <w:u w:val="single"/>
          </w:rPr>
          <w:t>Inclusive Teaching Strategies:  Reflecting on Your Practice</w:t>
        </w:r>
      </w:hyperlink>
      <w:r>
        <w:rPr>
          <w:sz w:val="28"/>
          <w:szCs w:val="28"/>
        </w:rPr>
        <w:t xml:space="preserve"> -- Center for Research on Learning and Teaching at University of Michigan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hyperlink r:id="rId22">
        <w:r>
          <w:rPr>
            <w:i/>
            <w:color w:val="1155CC"/>
            <w:sz w:val="28"/>
            <w:szCs w:val="28"/>
            <w:u w:val="single"/>
          </w:rPr>
          <w:t>“OK, I Get It! Now Tell Me How to Do It!</w:t>
        </w:r>
        <w:proofErr w:type="gramStart"/>
        <w:r>
          <w:rPr>
            <w:i/>
            <w:color w:val="1155CC"/>
            <w:sz w:val="28"/>
            <w:szCs w:val="28"/>
            <w:u w:val="single"/>
          </w:rPr>
          <w:t>”:</w:t>
        </w:r>
        <w:proofErr w:type="gramEnd"/>
        <w:r>
          <w:rPr>
            <w:i/>
            <w:color w:val="1155CC"/>
            <w:sz w:val="28"/>
            <w:szCs w:val="28"/>
            <w:u w:val="single"/>
          </w:rPr>
          <w:t xml:space="preserve"> Why We Can’t Just Tell You How to Do Critical Multicultural Education (2010)</w:t>
        </w:r>
      </w:hyperlink>
      <w:r>
        <w:rPr>
          <w:sz w:val="28"/>
          <w:szCs w:val="28"/>
        </w:rPr>
        <w:t xml:space="preserve"> --Robin </w:t>
      </w:r>
      <w:proofErr w:type="spellStart"/>
      <w:r>
        <w:rPr>
          <w:sz w:val="28"/>
          <w:szCs w:val="28"/>
        </w:rPr>
        <w:t>DiAngelo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Ozlem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Sensoy</w:t>
      </w:r>
      <w:proofErr w:type="spellEnd"/>
      <w:r>
        <w:rPr>
          <w:sz w:val="28"/>
          <w:szCs w:val="28"/>
        </w:rPr>
        <w:t xml:space="preserve"> 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Further Reflection -- Are there any patterns?</w:t>
      </w:r>
    </w:p>
    <w:p w:rsidR="00942474" w:rsidRDefault="00942474">
      <w:pPr>
        <w:contextualSpacing w:val="0"/>
        <w:rPr>
          <w:b/>
          <w:sz w:val="28"/>
          <w:szCs w:val="28"/>
          <w:u w:val="single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Do you respond similarly or differently to colleagues or students of different backgrounds when they come to you with similar or identical concerns?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If you look at your email history, do you communicate more abruptly with some colleagues / students than o</w:t>
      </w:r>
      <w:r>
        <w:rPr>
          <w:sz w:val="28"/>
          <w:szCs w:val="28"/>
        </w:rPr>
        <w:t>thers? Does it take you longer to reply to certain individuals than others?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Are there patterns in the folks to whom you give the benefit of the doubt?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When you plan a meeting or office hours, whose schedules do you take into consideration when deciding w</w:t>
      </w:r>
      <w:r>
        <w:rPr>
          <w:sz w:val="28"/>
          <w:szCs w:val="28"/>
        </w:rPr>
        <w:t>hich times are best?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Is there a pattern in students’ grades / employees’ evaluations based on any identity? 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Who are the folks in your friend group, on social media, in your office?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Do you ever “forget” to include someone in a meeting or gathering? Is t</w:t>
      </w:r>
      <w:r>
        <w:rPr>
          <w:sz w:val="28"/>
          <w:szCs w:val="28"/>
        </w:rPr>
        <w:t>here a pattern of who is forgotten or left off of the list?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data can you collect around what it means to show up as a leader / colleague / boss of your race? How do you show up? </w:t>
      </w:r>
    </w:p>
    <w:p w:rsidR="00942474" w:rsidRDefault="00942474">
      <w:pPr>
        <w:contextualSpacing w:val="0"/>
        <w:rPr>
          <w:sz w:val="28"/>
          <w:szCs w:val="28"/>
        </w:rPr>
      </w:pPr>
    </w:p>
    <w:p w:rsidR="00942474" w:rsidRDefault="00B03036">
      <w:pPr>
        <w:contextualSpacing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When you plan classes and meetings, do you take into account various l</w:t>
      </w:r>
      <w:r>
        <w:rPr>
          <w:sz w:val="28"/>
          <w:szCs w:val="28"/>
        </w:rPr>
        <w:t>earning styles? How do you know that this is working?</w:t>
      </w:r>
    </w:p>
    <w:sectPr w:rsidR="009424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4"/>
    <w:rsid w:val="00942474"/>
    <w:rsid w:val="00B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F5476-5ACC-425B-A4D9-7CEC0D6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codeswitch/2018/04/19/604070231/a-lesson-in-how-to-overcome-implicit-bias" TargetMode="External"/><Relationship Id="rId13" Type="http://schemas.openxmlformats.org/officeDocument/2006/relationships/hyperlink" Target="https://www.youtube.com/watch?v=AFEaCFFsM2U" TargetMode="External"/><Relationship Id="rId18" Type="http://schemas.openxmlformats.org/officeDocument/2006/relationships/hyperlink" Target="https://cue.usc.edu/equit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QXOsiu5aDsbksadPpt0HqwNLXdLYfQayHa4miQ6PPpM/edit" TargetMode="External"/><Relationship Id="rId7" Type="http://schemas.openxmlformats.org/officeDocument/2006/relationships/hyperlink" Target="https://www.nytimes.com/video/us/100000004818668/check-our-bias-to-wreck-our-bias.html" TargetMode="External"/><Relationship Id="rId12" Type="http://schemas.openxmlformats.org/officeDocument/2006/relationships/hyperlink" Target="https://news.aamc.org/video/interview-unconscious-bias-mahzarin-banaji/" TargetMode="External"/><Relationship Id="rId17" Type="http://schemas.openxmlformats.org/officeDocument/2006/relationships/hyperlink" Target="http://www.debbyirving.com/21-day-challen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pr.org/2018/08/18/639822895/robin-diangelo-on-white-peoples-fragility" TargetMode="External"/><Relationship Id="rId20" Type="http://schemas.openxmlformats.org/officeDocument/2006/relationships/hyperlink" Target="https://hbr.org/2018/05/how-companies-can-identify-racial-and-gender-bias-in-their-customer-serv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okdifferent.org/what-can-i-do/bias-cleanse" TargetMode="External"/><Relationship Id="rId11" Type="http://schemas.openxmlformats.org/officeDocument/2006/relationships/hyperlink" Target="https://www.youtube.com/watch?v=QnzkWc4b4m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ytimes.com/2017/03/15/learning/lesson-plans/25-mini-films-for-exploring-race-bias-and-identity-with-students.html" TargetMode="External"/><Relationship Id="rId15" Type="http://schemas.openxmlformats.org/officeDocument/2006/relationships/hyperlink" Target="https://www.tolerance.org/professional-development/test-yourself-for-hidden-bi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quity.ucla.edu/know/implicit-bias/" TargetMode="External"/><Relationship Id="rId19" Type="http://schemas.openxmlformats.org/officeDocument/2006/relationships/hyperlink" Target="https://cue.usc.edu/equity/equity-mindedness/" TargetMode="External"/><Relationship Id="rId4" Type="http://schemas.openxmlformats.org/officeDocument/2006/relationships/hyperlink" Target="http://www.racialequityresourceguide.org/about/glossary" TargetMode="External"/><Relationship Id="rId9" Type="http://schemas.openxmlformats.org/officeDocument/2006/relationships/hyperlink" Target="https://implicit.harvard.edu/" TargetMode="External"/><Relationship Id="rId14" Type="http://schemas.openxmlformats.org/officeDocument/2006/relationships/hyperlink" Target="https://www.youtube.com/watch?v=KBtrMIe-fj0" TargetMode="External"/><Relationship Id="rId22" Type="http://schemas.openxmlformats.org/officeDocument/2006/relationships/hyperlink" Target="https://drive.google.com/file/d/1zPf3THlN7a6doBNaPuWaJRUWFzYYNOu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Riecke</dc:creator>
  <cp:lastModifiedBy>Jeanne M Riecke</cp:lastModifiedBy>
  <cp:revision>2</cp:revision>
  <dcterms:created xsi:type="dcterms:W3CDTF">2018-11-27T00:09:00Z</dcterms:created>
  <dcterms:modified xsi:type="dcterms:W3CDTF">2018-11-27T00:09:00Z</dcterms:modified>
</cp:coreProperties>
</file>